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F2" w:rsidRPr="00F1326D" w:rsidRDefault="00F432F2" w:rsidP="00F432F2">
      <w:pPr>
        <w:pageBreakBefore/>
        <w:suppressAutoHyphens/>
        <w:spacing w:after="0" w:line="240" w:lineRule="auto"/>
        <w:jc w:val="right"/>
        <w:rPr>
          <w:rFonts w:ascii="Tahoma" w:eastAsia="Times New Roman" w:hAnsi="Tahoma" w:cs="Tahoma"/>
          <w:b/>
          <w:bCs/>
          <w:sz w:val="20"/>
          <w:szCs w:val="20"/>
          <w:lang w:eastAsia="ar-SA"/>
        </w:rPr>
      </w:pPr>
      <w:r w:rsidRPr="00F1326D">
        <w:rPr>
          <w:rFonts w:ascii="Tahoma" w:eastAsia="Times New Roman" w:hAnsi="Tahoma" w:cs="Tahoma"/>
          <w:sz w:val="20"/>
          <w:szCs w:val="20"/>
          <w:lang w:eastAsia="ar-SA"/>
        </w:rPr>
        <w:t>ALLEGATO 1)</w:t>
      </w:r>
    </w:p>
    <w:p w:rsidR="00F432F2" w:rsidRPr="00F1326D" w:rsidRDefault="00F432F2" w:rsidP="00F432F2">
      <w:pPr>
        <w:widowControl w:val="0"/>
        <w:suppressAutoHyphens/>
        <w:autoSpaceDE w:val="0"/>
        <w:spacing w:after="119" w:line="240" w:lineRule="auto"/>
        <w:jc w:val="center"/>
        <w:rPr>
          <w:rFonts w:ascii="Tahoma" w:eastAsia="Arial Unicode MS" w:hAnsi="Tahoma" w:cs="Tahoma"/>
          <w:b/>
          <w:bCs/>
          <w:kern w:val="1"/>
          <w:sz w:val="20"/>
          <w:szCs w:val="20"/>
          <w:lang w:eastAsia="ar-SA"/>
        </w:rPr>
      </w:pPr>
    </w:p>
    <w:p w:rsidR="00F432F2" w:rsidRPr="00F1326D" w:rsidRDefault="00F432F2" w:rsidP="00F432F2">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rsidR="00F432F2" w:rsidRPr="00F1326D" w:rsidRDefault="00F432F2" w:rsidP="00F432F2">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rsidR="00F432F2" w:rsidRPr="00F1326D" w:rsidRDefault="00F432F2" w:rsidP="00F432F2">
      <w:pPr>
        <w:suppressAutoHyphens/>
        <w:spacing w:after="0" w:line="240" w:lineRule="auto"/>
        <w:jc w:val="center"/>
        <w:rPr>
          <w:rFonts w:ascii="Tahoma" w:eastAsia="Times New Roman" w:hAnsi="Tahoma" w:cs="Tahoma"/>
          <w:sz w:val="18"/>
          <w:szCs w:val="18"/>
          <w:lang w:eastAsia="ar-SA"/>
        </w:rPr>
      </w:pPr>
    </w:p>
    <w:p w:rsidR="00F432F2" w:rsidRPr="00F1326D" w:rsidRDefault="00F432F2" w:rsidP="00F432F2">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Stazione Unica Appaltante della Provincia di Piacenza</w:t>
      </w:r>
    </w:p>
    <w:p w:rsidR="00F432F2" w:rsidRPr="00F1326D" w:rsidRDefault="00F432F2" w:rsidP="00F432F2">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rsidR="00F432F2" w:rsidRPr="00DE344E" w:rsidRDefault="00F432F2" w:rsidP="00F432F2">
      <w:pPr>
        <w:suppressAutoHyphens/>
        <w:spacing w:after="0" w:line="240" w:lineRule="auto"/>
        <w:ind w:left="5103"/>
        <w:jc w:val="both"/>
        <w:rPr>
          <w:rFonts w:ascii="Tahoma" w:eastAsia="Times New Roman" w:hAnsi="Tahoma" w:cs="Tahoma"/>
          <w:sz w:val="20"/>
          <w:szCs w:val="18"/>
          <w:lang w:eastAsia="ar-SA"/>
        </w:rPr>
      </w:pPr>
      <w:r w:rsidRPr="00DE344E">
        <w:rPr>
          <w:rFonts w:ascii="Tahoma" w:eastAsia="Times New Roman" w:hAnsi="Tahoma" w:cs="Tahoma"/>
          <w:sz w:val="20"/>
          <w:szCs w:val="18"/>
          <w:lang w:eastAsia="ar-SA"/>
        </w:rPr>
        <w:t>29121 Piacenza (PC)</w:t>
      </w:r>
    </w:p>
    <w:p w:rsidR="00F432F2" w:rsidRPr="00F1326D" w:rsidRDefault="00F432F2" w:rsidP="00F432F2">
      <w:pPr>
        <w:suppressAutoHyphens/>
        <w:spacing w:after="0" w:line="240" w:lineRule="auto"/>
        <w:jc w:val="both"/>
        <w:rPr>
          <w:rFonts w:ascii="Tahoma" w:eastAsia="Times New Roman" w:hAnsi="Tahoma" w:cs="Tahoma"/>
          <w:sz w:val="18"/>
          <w:szCs w:val="18"/>
          <w:lang w:eastAsia="ar-SA"/>
        </w:rPr>
      </w:pPr>
    </w:p>
    <w:p w:rsidR="00F432F2" w:rsidRPr="00F1326D" w:rsidRDefault="00F432F2" w:rsidP="00F432F2">
      <w:pPr>
        <w:suppressAutoHyphens/>
        <w:spacing w:after="0" w:line="240" w:lineRule="auto"/>
        <w:rPr>
          <w:rFonts w:ascii="Tahoma" w:eastAsia="Times New Roman" w:hAnsi="Tahoma" w:cs="Tahoma"/>
          <w:sz w:val="18"/>
          <w:szCs w:val="18"/>
          <w:lang w:eastAsia="ar-SA"/>
        </w:rPr>
      </w:pPr>
    </w:p>
    <w:p w:rsidR="00F432F2" w:rsidRPr="00417AEB" w:rsidRDefault="00F432F2" w:rsidP="00F432F2">
      <w:pPr>
        <w:pStyle w:val="NormaleWeb"/>
        <w:pBdr>
          <w:top w:val="double" w:sz="2" w:space="1" w:color="000000"/>
          <w:left w:val="double" w:sz="2" w:space="1" w:color="000000"/>
          <w:bottom w:val="double" w:sz="2" w:space="1" w:color="000000"/>
          <w:right w:val="double" w:sz="2" w:space="1" w:color="000000"/>
        </w:pBdr>
        <w:ind w:left="28"/>
        <w:jc w:val="both"/>
        <w:rPr>
          <w:rFonts w:ascii="Tahoma" w:hAnsi="Tahoma" w:cs="Tahoma"/>
        </w:rPr>
      </w:pPr>
      <w:r w:rsidRPr="00F1326D">
        <w:rPr>
          <w:rFonts w:ascii="Tahoma" w:hAnsi="Tahoma" w:cs="Tahoma"/>
          <w:sz w:val="20"/>
          <w:szCs w:val="20"/>
          <w:u w:val="single"/>
          <w:lang w:eastAsia="ar-SA"/>
        </w:rPr>
        <w:t>OGGETTO</w:t>
      </w:r>
      <w:r w:rsidRPr="004609E3">
        <w:rPr>
          <w:rFonts w:ascii="Tahoma" w:hAnsi="Tahoma" w:cs="Tahoma"/>
          <w:sz w:val="20"/>
          <w:szCs w:val="20"/>
          <w:lang w:eastAsia="ar-SA"/>
        </w:rPr>
        <w:t>:</w:t>
      </w:r>
      <w:r w:rsidRPr="00F1326D">
        <w:rPr>
          <w:rFonts w:ascii="Tahoma" w:hAnsi="Tahoma" w:cs="Tahoma"/>
          <w:sz w:val="20"/>
          <w:szCs w:val="20"/>
          <w:lang w:eastAsia="ar-SA"/>
        </w:rPr>
        <w:t xml:space="preserve"> </w:t>
      </w:r>
      <w:r w:rsidR="006748D6" w:rsidRPr="006748D6">
        <w:rPr>
          <w:rFonts w:ascii="Tahoma" w:hAnsi="Tahoma" w:cs="Tahoma"/>
          <w:b/>
          <w:sz w:val="20"/>
          <w:szCs w:val="20"/>
          <w:lang w:eastAsia="ar-SA"/>
        </w:rPr>
        <w:t>PROCEDURA APERTA PER L’AFFIDAMENTO DEI LAVORI DI ADEGUAMENTO SISMICO E MESSA IN SICUREZZA DELLA SCUOLA ELEMENTARE SITA IN VIA F.</w:t>
      </w:r>
      <w:r w:rsidR="006748D6">
        <w:rPr>
          <w:rFonts w:ascii="Tahoma" w:hAnsi="Tahoma" w:cs="Tahoma"/>
          <w:b/>
          <w:sz w:val="20"/>
          <w:szCs w:val="20"/>
          <w:lang w:eastAsia="ar-SA"/>
        </w:rPr>
        <w:t xml:space="preserve"> </w:t>
      </w:r>
      <w:r w:rsidR="006748D6" w:rsidRPr="006748D6">
        <w:rPr>
          <w:rFonts w:ascii="Tahoma" w:hAnsi="Tahoma" w:cs="Tahoma"/>
          <w:b/>
          <w:sz w:val="20"/>
          <w:szCs w:val="20"/>
          <w:lang w:eastAsia="ar-SA"/>
        </w:rPr>
        <w:t xml:space="preserve">ACERBI N.61, PONTE DELL’OLIO (PC). CUP B79E19002250005 CIG </w:t>
      </w:r>
      <w:r w:rsidR="00C108A3" w:rsidRPr="00C108A3">
        <w:rPr>
          <w:rFonts w:ascii="Tahoma" w:hAnsi="Tahoma" w:cs="Tahoma"/>
          <w:b/>
          <w:sz w:val="20"/>
          <w:szCs w:val="20"/>
          <w:lang w:eastAsia="ar-SA"/>
        </w:rPr>
        <w:t>835800296F</w:t>
      </w:r>
    </w:p>
    <w:p w:rsidR="00F432F2" w:rsidRPr="00F1326D" w:rsidRDefault="00F432F2" w:rsidP="00F432F2">
      <w:pPr>
        <w:suppressAutoHyphens/>
        <w:spacing w:after="240" w:line="240" w:lineRule="auto"/>
        <w:ind w:left="28"/>
        <w:jc w:val="both"/>
        <w:rPr>
          <w:rFonts w:ascii="Tahoma" w:eastAsia="Arial Unicode MS" w:hAnsi="Tahoma" w:cs="Tahoma"/>
          <w:color w:val="FF0000"/>
          <w:kern w:val="1"/>
          <w:sz w:val="24"/>
          <w:szCs w:val="24"/>
          <w:lang w:eastAsia="ar-SA"/>
        </w:rPr>
      </w:pPr>
      <w:r w:rsidRPr="00F1326D">
        <w:rPr>
          <w:rFonts w:ascii="Tahoma" w:eastAsia="Arial Unicode MS" w:hAnsi="Tahoma" w:cs="Tahoma"/>
          <w:b/>
          <w:bCs/>
          <w:color w:val="FF0000"/>
          <w:kern w:val="1"/>
          <w:sz w:val="20"/>
          <w:szCs w:val="20"/>
          <w:lang w:eastAsia="ar-SA"/>
        </w:rPr>
        <w:t>ISTRUZIONI PER LA COMPILAZIONE:</w:t>
      </w:r>
      <w:r w:rsidRPr="00F1326D">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F1326D">
        <w:rPr>
          <w:rFonts w:ascii="Tahoma" w:eastAsia="Arial Unicode MS" w:hAnsi="Tahoma" w:cs="Tahoma"/>
          <w:bCs/>
          <w:color w:val="FF0000"/>
          <w:kern w:val="1"/>
          <w:sz w:val="20"/>
          <w:szCs w:val="20"/>
          <w:lang w:eastAsia="ar-SA"/>
        </w:rPr>
        <w:t xml:space="preserve">PRIMA DI CARICARLO SULLA PIATTAFORMA “SATER”. </w:t>
      </w:r>
      <w:r w:rsidRPr="00F1326D">
        <w:rPr>
          <w:rFonts w:ascii="Tahoma" w:eastAsia="Arial Unicode MS" w:hAnsi="Tahoma" w:cs="Tahoma"/>
          <w:b/>
          <w:bCs/>
          <w:color w:val="FF0000"/>
          <w:kern w:val="1"/>
          <w:sz w:val="20"/>
          <w:szCs w:val="20"/>
          <w:lang w:eastAsia="ar-SA"/>
        </w:rPr>
        <w:t>Si rimanda al</w:t>
      </w:r>
      <w:r>
        <w:rPr>
          <w:rFonts w:ascii="Tahoma" w:eastAsia="Arial Unicode MS" w:hAnsi="Tahoma" w:cs="Tahoma"/>
          <w:b/>
          <w:bCs/>
          <w:color w:val="FF0000"/>
          <w:kern w:val="1"/>
          <w:sz w:val="20"/>
          <w:szCs w:val="20"/>
          <w:lang w:eastAsia="ar-SA"/>
        </w:rPr>
        <w:t xml:space="preserve"> disciplinare di gara</w:t>
      </w:r>
      <w:r w:rsidRPr="00F1326D">
        <w:rPr>
          <w:rFonts w:ascii="Tahoma" w:eastAsia="Arial Unicode MS" w:hAnsi="Tahoma" w:cs="Tahoma"/>
          <w:b/>
          <w:bCs/>
          <w:color w:val="FF0000"/>
          <w:kern w:val="1"/>
          <w:sz w:val="20"/>
          <w:szCs w:val="20"/>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F432F2" w:rsidRPr="00F1326D" w:rsidTr="00F43C44">
        <w:tc>
          <w:tcPr>
            <w:tcW w:w="1320" w:type="dxa"/>
            <w:gridSpan w:val="2"/>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bookmarkStart w:id="0" w:name="OLE_LINK1"/>
            <w:bookmarkStart w:id="1" w:name="OLE_LINK2"/>
            <w:bookmarkStart w:id="2" w:name="_Hlk254170315"/>
            <w:bookmarkEnd w:id="0"/>
            <w:bookmarkEnd w:id="1"/>
            <w:bookmarkEnd w:id="2"/>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r>
      <w:tr w:rsidR="00F432F2" w:rsidRPr="00F1326D" w:rsidTr="00F43C44">
        <w:tc>
          <w:tcPr>
            <w:tcW w:w="630" w:type="dxa"/>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r>
      <w:tr w:rsidR="00F432F2" w:rsidRPr="00F1326D" w:rsidTr="00F43C44">
        <w:tc>
          <w:tcPr>
            <w:tcW w:w="1320" w:type="dxa"/>
            <w:gridSpan w:val="2"/>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r>
      <w:tr w:rsidR="00F432F2" w:rsidRPr="00F1326D" w:rsidTr="00F43C44">
        <w:tc>
          <w:tcPr>
            <w:tcW w:w="1320" w:type="dxa"/>
            <w:gridSpan w:val="2"/>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r>
      <w:tr w:rsidR="00F432F2" w:rsidRPr="00F1326D" w:rsidTr="00F43C44">
        <w:tc>
          <w:tcPr>
            <w:tcW w:w="1320" w:type="dxa"/>
            <w:gridSpan w:val="2"/>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r>
      <w:tr w:rsidR="00F432F2" w:rsidRPr="00F1326D" w:rsidTr="00F43C44">
        <w:tc>
          <w:tcPr>
            <w:tcW w:w="1710" w:type="dxa"/>
            <w:gridSpan w:val="4"/>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r>
      <w:tr w:rsidR="00F432F2" w:rsidRPr="00F1326D" w:rsidTr="00F43C44">
        <w:tc>
          <w:tcPr>
            <w:tcW w:w="1815" w:type="dxa"/>
            <w:gridSpan w:val="5"/>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r>
      <w:tr w:rsidR="00F432F2" w:rsidRPr="00F1326D" w:rsidTr="00F43C44">
        <w:tc>
          <w:tcPr>
            <w:tcW w:w="1425" w:type="dxa"/>
            <w:gridSpan w:val="3"/>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rsidR="00F432F2" w:rsidRPr="00F1326D" w:rsidRDefault="00F432F2" w:rsidP="00F43C44">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rsidR="00F432F2" w:rsidRPr="00F1326D" w:rsidRDefault="00F432F2" w:rsidP="00F43C44">
            <w:pPr>
              <w:suppressAutoHyphens/>
              <w:snapToGrid w:val="0"/>
              <w:spacing w:before="159" w:after="0" w:line="240" w:lineRule="auto"/>
              <w:jc w:val="both"/>
              <w:rPr>
                <w:rFonts w:ascii="Tahoma" w:eastAsia="Times New Roman" w:hAnsi="Tahoma" w:cs="Tahoma"/>
                <w:sz w:val="18"/>
                <w:szCs w:val="18"/>
                <w:lang w:eastAsia="ar-SA"/>
              </w:rPr>
            </w:pPr>
          </w:p>
        </w:tc>
      </w:tr>
    </w:tbl>
    <w:p w:rsidR="00F432F2" w:rsidRPr="00F1326D" w:rsidRDefault="00F432F2" w:rsidP="00F432F2">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 xml:space="preserve">telefono: ______________________________ </w:t>
      </w:r>
      <w:r>
        <w:rPr>
          <w:rFonts w:ascii="Tahoma" w:eastAsia="Times New Roman" w:hAnsi="Tahoma" w:cs="Tahoma"/>
          <w:sz w:val="18"/>
          <w:szCs w:val="18"/>
          <w:lang w:eastAsia="ar-SA"/>
        </w:rPr>
        <w:t>PEC</w:t>
      </w:r>
      <w:r w:rsidRPr="00F1326D">
        <w:rPr>
          <w:rFonts w:ascii="Tahoma" w:eastAsia="Times New Roman" w:hAnsi="Tahoma" w:cs="Tahoma"/>
          <w:sz w:val="18"/>
          <w:szCs w:val="18"/>
          <w:lang w:eastAsia="ar-SA"/>
        </w:rPr>
        <w:t>: ____________________________________________________</w:t>
      </w:r>
    </w:p>
    <w:p w:rsidR="00F432F2" w:rsidRPr="00F1326D" w:rsidRDefault="00F432F2" w:rsidP="00F432F2">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rsidR="00F432F2" w:rsidRPr="00F1326D" w:rsidRDefault="00F432F2" w:rsidP="00F432F2">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F432F2" w:rsidRDefault="00F432F2" w:rsidP="00F432F2">
      <w:pPr>
        <w:spacing w:after="62" w:line="240" w:lineRule="auto"/>
        <w:ind w:left="720"/>
        <w:jc w:val="both"/>
        <w:rPr>
          <w:rFonts w:ascii="Tahoma" w:eastAsia="Times New Roman" w:hAnsi="Tahoma" w:cs="Tahoma"/>
          <w:color w:val="000000"/>
          <w:sz w:val="20"/>
          <w:szCs w:val="20"/>
        </w:rPr>
      </w:pPr>
      <w:bookmarkStart w:id="3" w:name="_Hlk20993278"/>
      <w:r>
        <w:rPr>
          <w:rFonts w:ascii="Tahoma" w:eastAsia="Times New Roman" w:hAnsi="Tahoma" w:cs="Tahoma"/>
          <w:color w:val="000000"/>
          <w:sz w:val="20"/>
          <w:szCs w:val="20"/>
        </w:rPr>
        <w:t>□ di tipo orizzontale □ di tipo verticale □ di tipo misto;</w:t>
      </w:r>
    </w:p>
    <w:bookmarkEnd w:id="3"/>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rsidR="00F432F2" w:rsidRDefault="00F432F2" w:rsidP="00F432F2">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fra società cooperative di produzione e lavoro ai sensi dell’art. 45, comma 2, lett. b) del D.Lgs. n. 50/2016;</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4" w:name="_Hlk20993322"/>
      <w:r w:rsidRPr="00F1326D">
        <w:rPr>
          <w:rFonts w:ascii="Tahoma" w:eastAsia="Times New Roman" w:hAnsi="Tahoma" w:cs="Tahoma"/>
          <w:color w:val="000000"/>
          <w:sz w:val="20"/>
          <w:szCs w:val="20"/>
          <w:lang w:eastAsia="ar-SA"/>
        </w:rPr>
        <w:t>ai sensi dell’art. 45, comma 2, lett. b) del D.Lgs. n. 50/2016;</w:t>
      </w:r>
    </w:p>
    <w:bookmarkEnd w:id="4"/>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lastRenderedPageBreak/>
        <w:t>consorzio stabile ex art. 45, comma 2, lett. c) del D. Lgs. 50/2016;</w:t>
      </w:r>
    </w:p>
    <w:p w:rsidR="00F432F2" w:rsidRPr="00096B64" w:rsidRDefault="00F432F2" w:rsidP="00F432F2">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cooptata;</w:t>
      </w:r>
    </w:p>
    <w:p w:rsidR="00F432F2" w:rsidRPr="00F1326D" w:rsidRDefault="00F432F2" w:rsidP="00F432F2">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rsidR="00F432F2" w:rsidRPr="00F1326D" w:rsidRDefault="00F432F2" w:rsidP="00F432F2">
      <w:pPr>
        <w:suppressAutoHyphens/>
        <w:spacing w:after="62" w:line="240" w:lineRule="auto"/>
        <w:ind w:left="426"/>
        <w:jc w:val="center"/>
        <w:rPr>
          <w:rFonts w:ascii="Tahoma" w:eastAsia="Times New Roman" w:hAnsi="Tahoma" w:cs="Tahoma"/>
          <w:color w:val="000000"/>
          <w:sz w:val="20"/>
          <w:szCs w:val="20"/>
          <w:lang w:eastAsia="ar-SA"/>
        </w:rPr>
      </w:pPr>
    </w:p>
    <w:p w:rsidR="00F432F2" w:rsidRPr="00F1326D" w:rsidRDefault="00F432F2" w:rsidP="00F432F2">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rsidR="00F432F2" w:rsidRPr="00F1326D" w:rsidRDefault="00F432F2" w:rsidP="00F432F2">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rsidR="00F432F2" w:rsidRPr="00F1326D" w:rsidRDefault="00F432F2" w:rsidP="00F432F2">
      <w:pPr>
        <w:suppressAutoHyphens/>
        <w:spacing w:after="0" w:line="240" w:lineRule="auto"/>
        <w:jc w:val="center"/>
        <w:rPr>
          <w:rFonts w:ascii="Tahoma" w:eastAsia="Times New Roman" w:hAnsi="Tahoma" w:cs="Tahoma"/>
          <w:bCs/>
          <w:sz w:val="20"/>
          <w:szCs w:val="20"/>
          <w:lang w:eastAsia="ar-SA"/>
        </w:rPr>
      </w:pP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rsidR="00F432F2" w:rsidRPr="00F1326D" w:rsidRDefault="00F432F2" w:rsidP="00F432F2">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F432F2" w:rsidRPr="00F1326D" w:rsidRDefault="00F432F2" w:rsidP="00F432F2">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rsidR="00F432F2" w:rsidRPr="00F1326D" w:rsidRDefault="00F432F2" w:rsidP="00F432F2">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F432F2" w:rsidRPr="00F1326D" w:rsidRDefault="00F432F2" w:rsidP="00F432F2">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rsidR="00F432F2" w:rsidRPr="00F1326D" w:rsidRDefault="00F432F2" w:rsidP="00F432F2">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F432F2" w:rsidRPr="00F1326D" w:rsidRDefault="00F432F2" w:rsidP="00F432F2">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visitato i luoghi dove devono eseguirsi i lavori e 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lastRenderedPageBreak/>
        <w:t>di aver effettuato una verifica della disponibilità della mano d'opera necessaria per l'esecuzione dei lavori, nonché della disponibilità dei materiali occorrenti e di attrezzature adeguati all'entità e alla tipologia e categoria dei lavori in appalto;</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F432F2" w:rsidRPr="00F1326D"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w:t>
      </w:r>
      <w:r w:rsidR="00F556E2">
        <w:rPr>
          <w:rFonts w:ascii="Tahoma" w:eastAsia="Times New Roman" w:hAnsi="Tahoma" w:cs="Tahoma"/>
          <w:color w:val="000000"/>
          <w:sz w:val="20"/>
          <w:szCs w:val="20"/>
          <w:lang w:eastAsia="ar-SA"/>
        </w:rPr>
        <w:t xml:space="preserve"> </w:t>
      </w:r>
      <w:r w:rsidR="00F556E2" w:rsidRPr="00B50018">
        <w:rPr>
          <w:rFonts w:ascii="Tahoma" w:eastAsia="Times New Roman" w:hAnsi="Tahoma" w:cs="Tahoma"/>
          <w:sz w:val="20"/>
          <w:szCs w:val="20"/>
          <w:lang w:eastAsia="ar-SA"/>
        </w:rPr>
        <w:t>del Disciplinare</w:t>
      </w:r>
      <w:r w:rsidRPr="00F1326D">
        <w:rPr>
          <w:rFonts w:ascii="Tahoma" w:eastAsia="Times New Roman" w:hAnsi="Tahoma" w:cs="Tahoma"/>
          <w:color w:val="000000"/>
          <w:sz w:val="20"/>
          <w:szCs w:val="20"/>
          <w:lang w:eastAsia="ar-SA"/>
        </w:rPr>
        <w:t>, in tutte le loro parti, e di accettare tutte le condizioni e prescrizioni contenute nei sopra citati atti;</w:t>
      </w:r>
    </w:p>
    <w:p w:rsidR="00F432F2" w:rsidRPr="00F1326D" w:rsidRDefault="00F432F2" w:rsidP="00F432F2">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rsidR="00F432F2" w:rsidRPr="00F1326D" w:rsidRDefault="00F432F2" w:rsidP="00F432F2">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rsidR="00F432F2" w:rsidRPr="00F1326D" w:rsidRDefault="00F432F2" w:rsidP="00F432F2">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rsidR="00F432F2" w:rsidRPr="00F1326D" w:rsidRDefault="00F432F2" w:rsidP="00F432F2">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5" w:name="_Hlk20993364"/>
      <w:r>
        <w:rPr>
          <w:rFonts w:ascii="Tahoma" w:eastAsia="Times New Roman" w:hAnsi="Tahoma" w:cs="Tahoma"/>
          <w:bCs/>
          <w:kern w:val="1"/>
          <w:sz w:val="20"/>
          <w:szCs w:val="20"/>
          <w:lang w:eastAsia="ar-SA"/>
        </w:rPr>
        <w:t xml:space="preserve">(o della scadenza intermedia nel caso di consorzio) </w:t>
      </w:r>
      <w:bookmarkEnd w:id="5"/>
      <w:r w:rsidRPr="00F1326D">
        <w:rPr>
          <w:rFonts w:ascii="Tahoma" w:eastAsia="Times New Roman" w:hAnsi="Tahoma" w:cs="Tahoma"/>
          <w:bCs/>
          <w:kern w:val="1"/>
          <w:sz w:val="20"/>
          <w:szCs w:val="20"/>
          <w:lang w:eastAsia="ar-SA"/>
        </w:rPr>
        <w:t>della certificazione SOA posseduta, ma l'impresa ha richiesto la verifica in data ________________;</w:t>
      </w:r>
    </w:p>
    <w:p w:rsidR="00F432F2" w:rsidRPr="00F1326D" w:rsidRDefault="00F432F2" w:rsidP="00F432F2">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rsidR="00F432F2" w:rsidRPr="00F1326D" w:rsidRDefault="00F432F2" w:rsidP="00F432F2">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rsidR="00F432F2" w:rsidRPr="00F1326D" w:rsidRDefault="00F432F2" w:rsidP="00F432F2">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rsidR="00F432F2" w:rsidRDefault="00F432F2" w:rsidP="00F432F2">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p>
    <w:p w:rsidR="00F432F2" w:rsidRPr="00F1326D" w:rsidRDefault="00F432F2" w:rsidP="00F432F2">
      <w:pPr>
        <w:suppressAutoHyphens/>
        <w:spacing w:before="119" w:after="0" w:line="240" w:lineRule="auto"/>
        <w:ind w:left="1080"/>
        <w:jc w:val="both"/>
        <w:rPr>
          <w:rFonts w:ascii="Tahoma" w:eastAsia="Times New Roman" w:hAnsi="Tahoma" w:cs="Tahoma"/>
          <w:bCs/>
          <w:kern w:val="1"/>
          <w:sz w:val="20"/>
          <w:szCs w:val="20"/>
          <w:lang w:eastAsia="ar-SA"/>
        </w:rPr>
      </w:pPr>
    </w:p>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w:t>
      </w:r>
      <w:r w:rsidR="00F556E2">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 xml:space="preserve"> del codice dei contratti pubblici;</w:t>
      </w:r>
    </w:p>
    <w:p w:rsidR="00F432F2" w:rsidRPr="00922B3C" w:rsidRDefault="00F432F2" w:rsidP="00F432F2">
      <w:pPr>
        <w:numPr>
          <w:ilvl w:val="0"/>
          <w:numId w:val="2"/>
        </w:numPr>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liquidazione giudiziale,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w:t>
      </w:r>
      <w:r w:rsidR="00F556E2">
        <w:rPr>
          <w:rFonts w:ascii="Tahoma" w:eastAsia="Times New Roman" w:hAnsi="Tahoma" w:cs="Tahoma"/>
          <w:color w:val="000000"/>
          <w:sz w:val="20"/>
          <w:szCs w:val="20"/>
          <w:lang w:eastAsia="ar-SA"/>
        </w:rPr>
        <w:t>)</w:t>
      </w:r>
      <w:r w:rsidRPr="00F1326D">
        <w:rPr>
          <w:rFonts w:ascii="Tahoma" w:eastAsia="Times New Roman" w:hAnsi="Tahoma" w:cs="Tahoma"/>
          <w:color w:val="000000"/>
          <w:sz w:val="20"/>
          <w:szCs w:val="20"/>
          <w:lang w:eastAsia="ar-SA"/>
        </w:rPr>
        <w:t xml:space="preserve"> e f-ter</w:t>
      </w:r>
      <w:r w:rsidR="00F556E2">
        <w:rPr>
          <w:rFonts w:ascii="Tahoma" w:eastAsia="Times New Roman" w:hAnsi="Tahoma" w:cs="Tahoma"/>
          <w:color w:val="000000"/>
          <w:sz w:val="20"/>
          <w:szCs w:val="20"/>
          <w:lang w:eastAsia="ar-SA"/>
        </w:rPr>
        <w:t>)</w:t>
      </w:r>
      <w:r w:rsidRPr="00F1326D">
        <w:rPr>
          <w:rFonts w:ascii="Tahoma" w:eastAsia="Times New Roman" w:hAnsi="Tahoma" w:cs="Tahoma"/>
          <w:color w:val="000000"/>
          <w:sz w:val="20"/>
          <w:szCs w:val="20"/>
          <w:lang w:eastAsia="ar-SA"/>
        </w:rPr>
        <w:t xml:space="preserve"> del Codice dei contratti pubblici;</w:t>
      </w:r>
    </w:p>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p>
    <w:p w:rsidR="00F432F2" w:rsidRPr="009D52FB"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rsidR="00F432F2" w:rsidRPr="009D52FB" w:rsidRDefault="00F432F2" w:rsidP="00F432F2">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w:t>
      </w:r>
      <w:r w:rsidRPr="00151ECD">
        <w:rPr>
          <w:rFonts w:ascii="Tahoma" w:eastAsia="Times New Roman" w:hAnsi="Tahoma" w:cs="Tahoma"/>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r w:rsidR="00F556E2">
        <w:rPr>
          <w:rFonts w:ascii="Tahoma" w:eastAsia="Times New Roman" w:hAnsi="Tahoma" w:cs="Tahoma"/>
          <w:color w:val="000000"/>
          <w:sz w:val="20"/>
          <w:szCs w:val="20"/>
          <w:lang w:eastAsia="ar-SA"/>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 commesso alcun inadempimento nei confronti di uno o più subappaltatori;</w:t>
      </w:r>
    </w:p>
    <w:p w:rsidR="00F432F2" w:rsidRPr="00162320" w:rsidRDefault="00F432F2" w:rsidP="00F432F2">
      <w:pPr>
        <w:numPr>
          <w:ilvl w:val="0"/>
          <w:numId w:val="2"/>
        </w:numPr>
        <w:suppressAutoHyphens/>
        <w:spacing w:after="62" w:line="240" w:lineRule="auto"/>
        <w:jc w:val="both"/>
        <w:rPr>
          <w:rFonts w:ascii="Tahoma" w:eastAsia="Times New Roman" w:hAnsi="Tahoma" w:cs="Tahoma"/>
          <w:sz w:val="20"/>
          <w:szCs w:val="20"/>
        </w:rPr>
      </w:pPr>
      <w:bookmarkStart w:id="6" w:name="_GoBack"/>
      <w:bookmarkEnd w:id="6"/>
      <w:r w:rsidRPr="00162320">
        <w:rPr>
          <w:rFonts w:ascii="Tahoma" w:eastAsia="Times New Roman" w:hAnsi="Tahoma" w:cs="Tahoma"/>
          <w:sz w:val="20"/>
          <w:szCs w:val="20"/>
        </w:rPr>
        <w:t>di impegnarsi a presentare quanto richiesto come condizione per la stipulazione del contratto</w:t>
      </w:r>
      <w:r w:rsidR="00E74D7F" w:rsidRPr="00162320">
        <w:rPr>
          <w:rFonts w:ascii="Tahoma" w:eastAsia="Times New Roman" w:hAnsi="Tahoma" w:cs="Tahoma"/>
          <w:sz w:val="20"/>
          <w:szCs w:val="20"/>
        </w:rPr>
        <w:t xml:space="preserve">, qualora aggiudicatario, </w:t>
      </w:r>
      <w:r w:rsidRPr="00162320">
        <w:rPr>
          <w:rFonts w:ascii="Tahoma" w:eastAsia="Times New Roman" w:hAnsi="Tahoma" w:cs="Tahoma"/>
          <w:sz w:val="20"/>
          <w:szCs w:val="20"/>
        </w:rPr>
        <w:t>in ordine ai «Materiali usati nel cantiere» nel paragrafo 2.4» dei CAM EDILIZIA approvati con Decreto MATTM 11/10/2017;</w:t>
      </w:r>
    </w:p>
    <w:p w:rsidR="00162320" w:rsidRPr="00162320" w:rsidRDefault="00162320" w:rsidP="00162320">
      <w:pPr>
        <w:numPr>
          <w:ilvl w:val="0"/>
          <w:numId w:val="2"/>
        </w:numPr>
        <w:suppressAutoHyphens/>
        <w:spacing w:after="62" w:line="240" w:lineRule="auto"/>
        <w:jc w:val="both"/>
        <w:rPr>
          <w:rFonts w:ascii="Tahoma" w:eastAsia="Times New Roman" w:hAnsi="Tahoma" w:cs="Tahoma"/>
          <w:sz w:val="20"/>
          <w:szCs w:val="20"/>
        </w:rPr>
      </w:pPr>
      <w:r w:rsidRPr="00162320">
        <w:rPr>
          <w:rFonts w:ascii="Tahoma" w:hAnsi="Tahoma" w:cs="Tahoma"/>
          <w:sz w:val="20"/>
          <w:szCs w:val="20"/>
        </w:rPr>
        <w:t xml:space="preserve">di impegnarsi a presentare quanto richiesto come condizione per la stipulazione del contratto, qualora aggiudicatario, </w:t>
      </w:r>
      <w:r>
        <w:rPr>
          <w:rFonts w:ascii="Tahoma" w:hAnsi="Tahoma" w:cs="Tahoma"/>
          <w:sz w:val="20"/>
          <w:szCs w:val="20"/>
        </w:rPr>
        <w:t>i</w:t>
      </w:r>
      <w:r w:rsidRPr="00162320">
        <w:rPr>
          <w:rFonts w:ascii="Tahoma" w:hAnsi="Tahoma" w:cs="Tahoma"/>
          <w:sz w:val="20"/>
          <w:szCs w:val="20"/>
        </w:rPr>
        <w:t>n ordine ai «Materiali usati nel cantiere»</w:t>
      </w:r>
      <w:r>
        <w:rPr>
          <w:rFonts w:ascii="Tahoma" w:hAnsi="Tahoma" w:cs="Tahoma"/>
          <w:sz w:val="20"/>
          <w:szCs w:val="20"/>
        </w:rPr>
        <w:t xml:space="preserve"> indicati al paragrafo 2.5.1 </w:t>
      </w:r>
      <w:r w:rsidRPr="00E74D7F">
        <w:rPr>
          <w:rFonts w:ascii="Tahoma" w:eastAsia="Times New Roman" w:hAnsi="Tahoma" w:cs="Tahoma"/>
          <w:color w:val="000000"/>
          <w:sz w:val="20"/>
          <w:szCs w:val="20"/>
        </w:rPr>
        <w:t>dei CAM EDILIZIA approvati con Decreto MATTM 11/10/2017</w:t>
      </w:r>
      <w:r>
        <w:rPr>
          <w:rFonts w:ascii="Tahoma" w:eastAsia="Times New Roman" w:hAnsi="Tahoma" w:cs="Tahoma"/>
          <w:color w:val="000000"/>
          <w:sz w:val="20"/>
          <w:szCs w:val="20"/>
        </w:rPr>
        <w:t xml:space="preserve"> </w:t>
      </w:r>
      <w:r>
        <w:rPr>
          <w:rFonts w:ascii="Tahoma" w:hAnsi="Tahoma" w:cs="Tahoma"/>
          <w:sz w:val="20"/>
          <w:szCs w:val="20"/>
        </w:rPr>
        <w:t>(</w:t>
      </w:r>
      <w:r w:rsidRPr="00162320">
        <w:rPr>
          <w:rFonts w:ascii="Tahoma" w:hAnsi="Tahoma" w:cs="Tahoma"/>
          <w:sz w:val="20"/>
          <w:szCs w:val="20"/>
        </w:rPr>
        <w:t>verifica precedente alla demolizione che contenga le informazioni specificate nel criterio, allegare un piano di demolizione e recupero e una sottoscrizione di impegno a trattare i rifiuti da demolizione o a conferirli ad un impianto autorizzato al recupero dei rifiuti</w:t>
      </w:r>
      <w:r>
        <w:rPr>
          <w:rFonts w:ascii="Tahoma" w:hAnsi="Tahoma" w:cs="Tahoma"/>
          <w:sz w:val="20"/>
          <w:szCs w:val="20"/>
        </w:rPr>
        <w:t>);</w:t>
      </w:r>
    </w:p>
    <w:p w:rsidR="00F432F2" w:rsidRPr="00E74D7F" w:rsidRDefault="00F432F2" w:rsidP="00F432F2">
      <w:pPr>
        <w:numPr>
          <w:ilvl w:val="0"/>
          <w:numId w:val="2"/>
        </w:numPr>
        <w:suppressAutoHyphens/>
        <w:spacing w:after="62" w:line="240" w:lineRule="auto"/>
        <w:jc w:val="both"/>
        <w:rPr>
          <w:rFonts w:ascii="Tahoma" w:eastAsia="Times New Roman" w:hAnsi="Tahoma" w:cs="Tahoma"/>
          <w:color w:val="000000"/>
          <w:sz w:val="20"/>
          <w:szCs w:val="20"/>
        </w:rPr>
      </w:pPr>
      <w:r w:rsidRPr="00E74D7F">
        <w:rPr>
          <w:rFonts w:ascii="Tahoma" w:eastAsia="Times New Roman" w:hAnsi="Tahoma" w:cs="Tahoma"/>
          <w:color w:val="000000"/>
          <w:sz w:val="20"/>
          <w:szCs w:val="20"/>
        </w:rPr>
        <w:t>di impegnarsi a presentare quanto richiesto come condizione per la stipulazione del contratto</w:t>
      </w:r>
      <w:r w:rsidR="00E74D7F" w:rsidRPr="000D7CF2">
        <w:rPr>
          <w:rFonts w:ascii="Tahoma" w:eastAsia="Times New Roman" w:hAnsi="Tahoma" w:cs="Tahoma"/>
          <w:color w:val="000000"/>
          <w:sz w:val="20"/>
          <w:szCs w:val="20"/>
        </w:rPr>
        <w:t xml:space="preserve">, </w:t>
      </w:r>
      <w:r w:rsidR="00E74D7F">
        <w:rPr>
          <w:rFonts w:ascii="Tahoma" w:eastAsia="Times New Roman" w:hAnsi="Tahoma" w:cs="Tahoma"/>
          <w:color w:val="000000"/>
          <w:sz w:val="20"/>
          <w:szCs w:val="20"/>
        </w:rPr>
        <w:t>qualora aggiudicatario,</w:t>
      </w:r>
      <w:r w:rsidRPr="00E74D7F">
        <w:rPr>
          <w:rFonts w:ascii="Tahoma" w:eastAsia="Times New Roman" w:hAnsi="Tahoma" w:cs="Tahoma"/>
          <w:color w:val="000000"/>
          <w:sz w:val="20"/>
          <w:szCs w:val="20"/>
        </w:rPr>
        <w:t xml:space="preserve"> in ordine 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rsidR="00F432F2" w:rsidRPr="00E74D7F" w:rsidRDefault="00F432F2" w:rsidP="00F432F2">
      <w:pPr>
        <w:numPr>
          <w:ilvl w:val="0"/>
          <w:numId w:val="2"/>
        </w:numPr>
        <w:suppressAutoHyphens/>
        <w:spacing w:after="62" w:line="240" w:lineRule="auto"/>
        <w:jc w:val="both"/>
        <w:rPr>
          <w:rFonts w:ascii="Tahoma" w:eastAsia="Times New Roman" w:hAnsi="Tahoma" w:cs="Tahoma"/>
          <w:color w:val="000000"/>
          <w:sz w:val="20"/>
          <w:szCs w:val="20"/>
        </w:rPr>
      </w:pPr>
      <w:r w:rsidRPr="00E74D7F">
        <w:rPr>
          <w:rFonts w:ascii="Tahoma" w:eastAsia="Times New Roman" w:hAnsi="Tahoma" w:cs="Tahoma"/>
          <w:color w:val="000000"/>
          <w:sz w:val="20"/>
          <w:szCs w:val="20"/>
        </w:rPr>
        <w:t>di impegnarsi a presentare quanto richiesto come condizione per la stipulazione del contratto</w:t>
      </w:r>
      <w:r w:rsidR="00E74D7F" w:rsidRPr="000D7CF2">
        <w:rPr>
          <w:rFonts w:ascii="Tahoma" w:eastAsia="Times New Roman" w:hAnsi="Tahoma" w:cs="Tahoma"/>
          <w:color w:val="000000"/>
          <w:sz w:val="20"/>
          <w:szCs w:val="20"/>
        </w:rPr>
        <w:t xml:space="preserve">, </w:t>
      </w:r>
      <w:r w:rsidR="00E74D7F">
        <w:rPr>
          <w:rFonts w:ascii="Tahoma" w:eastAsia="Times New Roman" w:hAnsi="Tahoma" w:cs="Tahoma"/>
          <w:color w:val="000000"/>
          <w:sz w:val="20"/>
          <w:szCs w:val="20"/>
        </w:rPr>
        <w:t>qualora aggiudicatario,</w:t>
      </w:r>
      <w:r w:rsidRPr="00E74D7F">
        <w:rPr>
          <w:rFonts w:ascii="Tahoma" w:eastAsia="Times New Roman" w:hAnsi="Tahoma" w:cs="Tahoma"/>
          <w:color w:val="000000"/>
          <w:sz w:val="20"/>
          <w:szCs w:val="20"/>
        </w:rPr>
        <w:t xml:space="preserve">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rsidR="00F432F2" w:rsidRDefault="00F432F2" w:rsidP="00F432F2">
      <w:pPr>
        <w:numPr>
          <w:ilvl w:val="0"/>
          <w:numId w:val="2"/>
        </w:numPr>
        <w:suppressAutoHyphens/>
        <w:spacing w:after="62" w:line="240" w:lineRule="auto"/>
        <w:jc w:val="both"/>
        <w:rPr>
          <w:rFonts w:ascii="Tahoma" w:eastAsia="Times New Roman" w:hAnsi="Tahoma" w:cs="Tahoma"/>
          <w:color w:val="000000"/>
          <w:sz w:val="20"/>
          <w:szCs w:val="20"/>
        </w:rPr>
      </w:pPr>
      <w:r w:rsidRPr="00E74D7F">
        <w:rPr>
          <w:rFonts w:ascii="Tahoma" w:eastAsia="Times New Roman" w:hAnsi="Tahoma" w:cs="Tahoma"/>
          <w:color w:val="000000"/>
          <w:sz w:val="20"/>
          <w:szCs w:val="20"/>
        </w:rPr>
        <w:t>di impegnarsi a presentare quanto richiesto come condizione per la stipulazione del contratto</w:t>
      </w:r>
      <w:r w:rsidR="00E74D7F" w:rsidRPr="000D7CF2">
        <w:rPr>
          <w:rFonts w:ascii="Tahoma" w:eastAsia="Times New Roman" w:hAnsi="Tahoma" w:cs="Tahoma"/>
          <w:color w:val="000000"/>
          <w:sz w:val="20"/>
          <w:szCs w:val="20"/>
        </w:rPr>
        <w:t xml:space="preserve">, qualora aggiudicatario, </w:t>
      </w:r>
      <w:r w:rsidRPr="00E74D7F">
        <w:rPr>
          <w:rFonts w:ascii="Tahoma" w:eastAsia="Times New Roman" w:hAnsi="Tahoma" w:cs="Tahoma"/>
          <w:color w:val="000000"/>
          <w:sz w:val="20"/>
          <w:szCs w:val="20"/>
        </w:rPr>
        <w:t>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rsidR="00B50018" w:rsidRPr="00B50018" w:rsidRDefault="00B50018" w:rsidP="00B50018">
      <w:pPr>
        <w:pStyle w:val="Paragrafoelenco"/>
        <w:numPr>
          <w:ilvl w:val="0"/>
          <w:numId w:val="2"/>
        </w:numPr>
        <w:rPr>
          <w:rFonts w:ascii="Tahoma" w:eastAsia="Times New Roman" w:hAnsi="Tahoma" w:cs="Tahoma"/>
          <w:color w:val="000000"/>
          <w:sz w:val="20"/>
          <w:szCs w:val="20"/>
          <w:lang w:eastAsia="en-US"/>
        </w:rPr>
      </w:pPr>
      <w:r w:rsidRPr="00B50018">
        <w:rPr>
          <w:rFonts w:ascii="Tahoma" w:eastAsia="Times New Roman" w:hAnsi="Tahoma" w:cs="Tahoma"/>
          <w:color w:val="000000"/>
          <w:sz w:val="20"/>
          <w:szCs w:val="20"/>
          <w:lang w:eastAsia="en-US"/>
        </w:rPr>
        <w:t>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secondo le prescrizioni del. In caso di impiego di lavoratori interinali per brevi durate (meno di 60 giorni) l’offerente presenta i documenti probanti (attestati) relativi alla loro formazione in materia di salute e sicurezza sul lavoro (sia «generica» effettuata presso l’agenzia interinale sia «specifica», effettuata presso il cantiere/ azienda/ soggetto proponente e diversa a seconda del livello di rischio delle lavorazioni) secondo quanto previsto dall’Accordo Stato-Regioni del 21 dicembre 2011);</w:t>
      </w:r>
    </w:p>
    <w:p w:rsidR="005E04AC" w:rsidRPr="00AF73A0" w:rsidRDefault="00AF73A0" w:rsidP="00AF73A0">
      <w:pPr>
        <w:numPr>
          <w:ilvl w:val="0"/>
          <w:numId w:val="2"/>
        </w:numPr>
        <w:suppressAutoHyphens/>
        <w:spacing w:after="200" w:line="240" w:lineRule="auto"/>
        <w:jc w:val="both"/>
        <w:rPr>
          <w:rFonts w:ascii="Tahoma" w:eastAsia="Times New Roman" w:hAnsi="Tahoma" w:cs="Tahoma"/>
          <w:color w:val="000000"/>
          <w:sz w:val="20"/>
          <w:szCs w:val="20"/>
        </w:rPr>
      </w:pPr>
      <w:r w:rsidRPr="00AF73A0">
        <w:rPr>
          <w:rFonts w:ascii="Tahoma" w:eastAsia="Times New Roman" w:hAnsi="Tahoma" w:cs="Tahoma"/>
          <w:color w:val="000000"/>
          <w:sz w:val="20"/>
          <w:szCs w:val="20"/>
        </w:rPr>
        <w:t xml:space="preserve">di impegnarsi a presentare quanto richiesto come condizione per la stipulazione del contratto, qualora aggiudicatario, </w:t>
      </w:r>
      <w:r>
        <w:rPr>
          <w:rFonts w:ascii="Tahoma" w:eastAsia="Times New Roman" w:hAnsi="Tahoma" w:cs="Tahoma"/>
          <w:color w:val="000000"/>
          <w:sz w:val="20"/>
          <w:szCs w:val="20"/>
        </w:rPr>
        <w:t>in ordine a «Oli lubrificanti», dichiarazione del legale rappresentante che attesti la conformità degli oli lubrificanti che saranno utilizzati per i veicoli ed i macchinari di cantiere ai criteri esposti dal paragrafo 2.7.5 dei CAM EDILIZIA;</w:t>
      </w:r>
    </w:p>
    <w:p w:rsidR="00F432F2" w:rsidRPr="00C20055" w:rsidRDefault="0018083B" w:rsidP="00F432F2">
      <w:pPr>
        <w:pStyle w:val="Corpotesto"/>
        <w:numPr>
          <w:ilvl w:val="0"/>
          <w:numId w:val="2"/>
        </w:numPr>
        <w:suppressAutoHyphens/>
        <w:autoSpaceDE w:val="0"/>
        <w:spacing w:before="40" w:line="240" w:lineRule="auto"/>
        <w:jc w:val="both"/>
        <w:rPr>
          <w:rFonts w:ascii="Tahoma" w:eastAsia="Tahoma" w:hAnsi="Tahoma" w:cs="Tahoma"/>
          <w:b/>
          <w:sz w:val="20"/>
          <w:szCs w:val="20"/>
          <w:lang w:eastAsia="it-IT" w:bidi="it-IT"/>
        </w:rPr>
      </w:pPr>
      <w:r w:rsidRPr="00C20055">
        <w:rPr>
          <w:rFonts w:ascii="Tahoma" w:eastAsia="Times New Roman" w:hAnsi="Tahoma" w:cs="Tahoma"/>
          <w:color w:val="000000"/>
          <w:sz w:val="20"/>
          <w:szCs w:val="20"/>
        </w:rPr>
        <w:t xml:space="preserve">di essere edotto degli obblighi derivanti dal Codice di Comportamento dei dipendenti pubblici approvato con Delibera della Giunta Comunale di Ponte dell’Olio n° 6 del 29/01/2014, e di impegnarsi, in caso di aggiudicazione, a osservare e far osservare ai propri dipendenti e collaboratori il suddetto codice, </w:t>
      </w:r>
      <w:r w:rsidRPr="00C20055">
        <w:rPr>
          <w:rFonts w:ascii="Tahoma" w:eastAsia="Times New Roman" w:hAnsi="Tahoma" w:cs="Tahoma"/>
          <w:color w:val="000000"/>
          <w:sz w:val="20"/>
          <w:szCs w:val="20"/>
          <w:u w:val="single"/>
        </w:rPr>
        <w:t>pena la risoluzione del contratto</w:t>
      </w:r>
      <w:r w:rsidR="00F432F2" w:rsidRPr="00C20055">
        <w:rPr>
          <w:rFonts w:ascii="Tahoma" w:eastAsia="Times New Roman" w:hAnsi="Tahoma" w:cs="Tahoma"/>
          <w:color w:val="000000"/>
          <w:sz w:val="20"/>
          <w:szCs w:val="20"/>
          <w:lang w:eastAsia="ar-SA"/>
        </w:rPr>
        <w:t>;</w:t>
      </w:r>
    </w:p>
    <w:p w:rsidR="00F432F2" w:rsidRDefault="00F432F2" w:rsidP="00F432F2">
      <w:pPr>
        <w:numPr>
          <w:ilvl w:val="0"/>
          <w:numId w:val="4"/>
        </w:numPr>
        <w:suppressAutoHyphens/>
        <w:spacing w:after="62" w:line="240" w:lineRule="auto"/>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F432F2" w:rsidRPr="00C45B23" w:rsidRDefault="00F432F2" w:rsidP="00F432F2">
      <w:pPr>
        <w:suppressAutoHyphens/>
        <w:spacing w:after="62" w:line="240" w:lineRule="auto"/>
        <w:ind w:left="360"/>
        <w:jc w:val="both"/>
        <w:rPr>
          <w:rFonts w:ascii="Tahoma" w:eastAsia="Times New Roman" w:hAnsi="Tahoma" w:cs="Tahoma"/>
          <w:color w:val="000000"/>
          <w:sz w:val="20"/>
          <w:szCs w:val="20"/>
        </w:rPr>
      </w:pPr>
      <w:proofErr w:type="gramStart"/>
      <w:r>
        <w:rPr>
          <w:rFonts w:ascii="Tahoma" w:eastAsia="Times New Roman" w:hAnsi="Tahoma" w:cs="Tahoma"/>
          <w:b/>
          <w:color w:val="000000"/>
          <w:sz w:val="20"/>
          <w:szCs w:val="20"/>
        </w:rPr>
        <w:t xml:space="preserve">[ </w:t>
      </w:r>
      <w:r w:rsidRPr="00E459D4">
        <w:rPr>
          <w:rFonts w:ascii="Tahoma" w:eastAsia="Times New Roman" w:hAnsi="Tahoma" w:cs="Tahoma"/>
          <w:b/>
          <w:color w:val="000000"/>
          <w:sz w:val="20"/>
          <w:szCs w:val="20"/>
        </w:rPr>
        <w:t>]</w:t>
      </w:r>
      <w:proofErr w:type="gramEnd"/>
      <w:r w:rsidRPr="00E459D4">
        <w:rPr>
          <w:rFonts w:ascii="Tahoma" w:eastAsia="Times New Roman" w:hAnsi="Tahoma" w:cs="Tahoma"/>
          <w:b/>
          <w:color w:val="000000"/>
          <w:sz w:val="20"/>
          <w:szCs w:val="20"/>
        </w:rPr>
        <w:t xml:space="preserve"> Sì [ ] No</w:t>
      </w:r>
    </w:p>
    <w:p w:rsidR="00F432F2" w:rsidRPr="00C45B23" w:rsidRDefault="00F432F2" w:rsidP="00F432F2">
      <w:pPr>
        <w:spacing w:after="62" w:line="240" w:lineRule="auto"/>
        <w:ind w:left="360"/>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In caso affermativo:</w:t>
      </w:r>
    </w:p>
    <w:p w:rsidR="00F432F2" w:rsidRPr="00C45B23" w:rsidRDefault="00F432F2" w:rsidP="00F432F2">
      <w:pPr>
        <w:spacing w:after="62" w:line="240" w:lineRule="auto"/>
        <w:ind w:left="360"/>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ha denunciato i fatti all’autorità giudiziaria?</w:t>
      </w:r>
      <w:r>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F432F2" w:rsidRPr="00C45B23" w:rsidRDefault="00F432F2" w:rsidP="00F432F2">
      <w:pPr>
        <w:spacing w:after="62" w:line="240" w:lineRule="auto"/>
        <w:ind w:left="360"/>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ricorrono i casi previsti all’articolo 4, primo comma, della Legge 24 novembre 1981, n. 689 (a</w:t>
      </w:r>
      <w:r>
        <w:rPr>
          <w:rFonts w:ascii="Tahoma" w:eastAsia="Times New Roman" w:hAnsi="Tahoma" w:cs="Tahoma"/>
          <w:color w:val="000000"/>
          <w:sz w:val="20"/>
          <w:szCs w:val="20"/>
        </w:rPr>
        <w:t>rticolo 80, comma 5, lettera l)</w:t>
      </w:r>
      <w:r w:rsidRPr="00C45B23">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F432F2" w:rsidRDefault="00F432F2" w:rsidP="00F432F2">
      <w:pPr>
        <w:numPr>
          <w:ilvl w:val="0"/>
          <w:numId w:val="2"/>
        </w:numPr>
        <w:suppressAutoHyphens/>
        <w:spacing w:before="119" w:after="62" w:line="240" w:lineRule="auto"/>
        <w:jc w:val="both"/>
        <w:rPr>
          <w:rFonts w:ascii="Tahoma" w:eastAsia="Times New Roman" w:hAnsi="Tahoma" w:cs="Tahoma"/>
          <w:color w:val="000000"/>
          <w:sz w:val="20"/>
          <w:szCs w:val="20"/>
          <w:lang w:eastAsia="ar-SA"/>
        </w:rPr>
      </w:pPr>
      <w:r w:rsidRPr="00C45B23">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w:t>
      </w:r>
      <w:r>
        <w:rPr>
          <w:rFonts w:ascii="Tahoma" w:eastAsia="Times New Roman" w:hAnsi="Tahoma" w:cs="Tahoma"/>
          <w:color w:val="000000"/>
          <w:sz w:val="20"/>
          <w:szCs w:val="20"/>
        </w:rPr>
        <w:t xml:space="preserve"> _______________________________________________________________________________________________________________________________________________________________________;</w:t>
      </w:r>
    </w:p>
    <w:p w:rsidR="00F432F2" w:rsidRDefault="00F432F2" w:rsidP="00F432F2">
      <w:pPr>
        <w:numPr>
          <w:ilvl w:val="0"/>
          <w:numId w:val="2"/>
        </w:numPr>
        <w:suppressAutoHyphens/>
        <w:spacing w:before="119" w:after="62" w:line="240" w:lineRule="auto"/>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lastRenderedPageBreak/>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rsidR="00F432F2" w:rsidRPr="00CC1626" w:rsidRDefault="00F432F2" w:rsidP="00F432F2">
      <w:pPr>
        <w:suppressAutoHyphens/>
        <w:spacing w:before="119" w:after="62" w:line="240" w:lineRule="auto"/>
        <w:ind w:left="360"/>
        <w:jc w:val="center"/>
        <w:rPr>
          <w:rFonts w:ascii="Tahoma" w:eastAsia="Times New Roman" w:hAnsi="Tahoma" w:cs="Tahoma"/>
          <w:i/>
          <w:color w:val="000000"/>
        </w:rPr>
      </w:pPr>
      <w:r w:rsidRPr="00CC1626">
        <w:rPr>
          <w:rFonts w:ascii="Tahoma" w:eastAsia="Times New Roman" w:hAnsi="Tahoma" w:cs="Tahoma"/>
          <w:i/>
          <w:color w:val="000000"/>
        </w:rPr>
        <w:t>oppure</w:t>
      </w:r>
    </w:p>
    <w:p w:rsidR="00F432F2" w:rsidRDefault="00F432F2" w:rsidP="00F432F2">
      <w:pPr>
        <w:numPr>
          <w:ilvl w:val="0"/>
          <w:numId w:val="2"/>
        </w:numPr>
        <w:suppressAutoHyphens/>
        <w:spacing w:before="119" w:after="62" w:line="240" w:lineRule="auto"/>
        <w:jc w:val="both"/>
        <w:rPr>
          <w:rFonts w:ascii="Tahoma" w:eastAsia="Times New Roman" w:hAnsi="Tahoma" w:cs="Tahoma"/>
          <w:color w:val="000000"/>
          <w:sz w:val="20"/>
          <w:szCs w:val="20"/>
        </w:rPr>
      </w:pPr>
      <w:r w:rsidRPr="00CC1626">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rsidR="00F432F2" w:rsidRPr="00DF5AC8" w:rsidRDefault="00F432F2" w:rsidP="00F432F2">
      <w:pPr>
        <w:suppressAutoHyphens/>
        <w:spacing w:before="119" w:after="62" w:line="240" w:lineRule="auto"/>
        <w:ind w:left="360"/>
        <w:jc w:val="both"/>
        <w:rPr>
          <w:rFonts w:ascii="Tahoma" w:eastAsia="Times New Roman" w:hAnsi="Tahoma" w:cs="Tahoma"/>
          <w:color w:val="000000"/>
          <w:sz w:val="20"/>
          <w:szCs w:val="20"/>
        </w:rPr>
      </w:pPr>
    </w:p>
    <w:p w:rsidR="00F432F2" w:rsidRPr="003353A5" w:rsidRDefault="00F432F2" w:rsidP="00F432F2">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dell'impresa_______________________________</w:t>
      </w:r>
      <w:r>
        <w:rPr>
          <w:rFonts w:ascii="Tahoma" w:eastAsia="Times New Roman" w:hAnsi="Tahoma" w:cs="Tahoma"/>
          <w:color w:val="000000"/>
          <w:sz w:val="20"/>
          <w:szCs w:val="20"/>
        </w:rPr>
        <w:t>___________</w:t>
      </w:r>
      <w:r w:rsidRPr="003353A5">
        <w:rPr>
          <w:rFonts w:ascii="Tahoma" w:eastAsia="Times New Roman" w:hAnsi="Tahoma" w:cs="Tahoma"/>
          <w:color w:val="000000"/>
          <w:sz w:val="20"/>
          <w:szCs w:val="20"/>
        </w:rPr>
        <w:t>_, che possiede classificazioni sufficienti a coprire l’importo dei lavori che andrà ad eseguire; importo che, ai sensi di legge, sarà inferiore al 20% dell'importo complessivo dei lavori oggetto di affidamento;</w:t>
      </w:r>
    </w:p>
    <w:p w:rsidR="00F432F2" w:rsidRPr="00756D9F" w:rsidRDefault="00F432F2" w:rsidP="00F432F2">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3462C30"/>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9135C9"/>
    <w:multiLevelType w:val="hybridMultilevel"/>
    <w:tmpl w:val="82A4731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5687388A"/>
    <w:multiLevelType w:val="hybridMultilevel"/>
    <w:tmpl w:val="3DB817C6"/>
    <w:lvl w:ilvl="0" w:tplc="20E0BC5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E7"/>
    <w:rsid w:val="00085BED"/>
    <w:rsid w:val="00162320"/>
    <w:rsid w:val="0018083B"/>
    <w:rsid w:val="002B0DE7"/>
    <w:rsid w:val="005E04AC"/>
    <w:rsid w:val="006748D6"/>
    <w:rsid w:val="008B74A0"/>
    <w:rsid w:val="00A71F1D"/>
    <w:rsid w:val="00AF73A0"/>
    <w:rsid w:val="00B50018"/>
    <w:rsid w:val="00C108A3"/>
    <w:rsid w:val="00C20055"/>
    <w:rsid w:val="00C77062"/>
    <w:rsid w:val="00D57B37"/>
    <w:rsid w:val="00E74D7F"/>
    <w:rsid w:val="00F432F2"/>
    <w:rsid w:val="00F556E2"/>
    <w:rsid w:val="00FB5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68AD"/>
  <w15:chartTrackingRefBased/>
  <w15:docId w15:val="{FA18471E-5ED1-4D11-9BD2-4A926111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32F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32F2"/>
    <w:pPr>
      <w:spacing w:before="100" w:beforeAutospacing="1" w:after="119"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F432F2"/>
    <w:rPr>
      <w:color w:val="0563C1"/>
      <w:u w:val="single"/>
    </w:rPr>
  </w:style>
  <w:style w:type="paragraph" w:styleId="Corpotesto">
    <w:name w:val="Body Text"/>
    <w:basedOn w:val="Normale"/>
    <w:link w:val="CorpotestoCarattere"/>
    <w:uiPriority w:val="99"/>
    <w:unhideWhenUsed/>
    <w:rsid w:val="00F432F2"/>
    <w:pPr>
      <w:spacing w:after="120"/>
    </w:pPr>
  </w:style>
  <w:style w:type="character" w:customStyle="1" w:styleId="CorpotestoCarattere">
    <w:name w:val="Corpo testo Carattere"/>
    <w:basedOn w:val="Carpredefinitoparagrafo"/>
    <w:link w:val="Corpotesto"/>
    <w:uiPriority w:val="99"/>
    <w:rsid w:val="00F432F2"/>
    <w:rPr>
      <w:rFonts w:ascii="Calibri" w:eastAsia="Calibri" w:hAnsi="Calibri" w:cs="Times New Roman"/>
    </w:rPr>
  </w:style>
  <w:style w:type="paragraph" w:styleId="Paragrafoelenco">
    <w:name w:val="List Paragraph"/>
    <w:basedOn w:val="Normale"/>
    <w:uiPriority w:val="34"/>
    <w:qFormat/>
    <w:rsid w:val="00E74D7F"/>
    <w:pPr>
      <w:suppressAutoHyphens/>
      <w:spacing w:line="252" w:lineRule="auto"/>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2263</Words>
  <Characters>12902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16</cp:revision>
  <dcterms:created xsi:type="dcterms:W3CDTF">2020-01-21T07:40:00Z</dcterms:created>
  <dcterms:modified xsi:type="dcterms:W3CDTF">2020-07-15T07:01:00Z</dcterms:modified>
</cp:coreProperties>
</file>